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broad commodities, gold, and oil all showing clear inverse moves when the dollar strengthens. Gold stands out as the single strongest USD-linked asset, and its consistently negative correlations across 15D and 90D suggest a durable pattern of moving opposite the dollar. Equities (SPX) and Bitcoin futures show contained USD linkage, with near-zero 30D correlations indicating that recent dollar moves have not been a primary driver of their day-to-day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