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US equities have shown broadly negative sensitivity to rising 10Y yields, with the S&amp;P 500, Nasdaq 100, and Russell 2000 all moving meaningfully opposite to rates and the Russell showing the sharpest equity response. The 15-day window points to an even tighter inverse linkage for these equity indices, while the 90-day readings are milder, suggesting the recent rate sensitivity has intensified versus the longer lookback. Utilities stand out for having a steadier negative relationship to yields across 30- and 90-day windows, while Financials remain inversely linked but somewhat less tightly tied to rate moves than the broad market.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