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fairly concentrated in cyclicals and crypto, with USO and broad commodities both showing moderate positive linkage, while the S&amp;P 500 and Bitcoin lean moderately inverse. This means recent dollar strength has tended to align with higher oil and commodity prices but weaker equities and Bitcoin. Gold stands out as the only asset with a contained 30-day relationship to the USD, even though its 15D and 90D readings still point to a more classically inverse pattern in the shorter and longer views.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