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equities (S&amp;P 500, Nasdaq 100, and Russell 2000) have shown fairly strong negative correlations to 10‑year yields, pointing to meaningful rate sensitivity across major stock benchmarks. Financials are also negatively linked to yields over this window, while utilities display a similar but slightly more persistent pattern when viewed over 90 trading days. Taken together, rate sensitivity is not concentrated in a single equity segment; it is spread across large-cap, growth, small-cap, and defensives, all tending to struggle on days when yields rise.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