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U. S. equities and broad commodities, with the S&amp;P 500 moving moderately opposite the dollar while oil and the commodity basket tend to rise when the dollar strengthens. Bitcoin has shifted toward a more notable negative linkage to the USD recently, with its 15-day correlation more strongly inverse than the 30-day snapshot.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