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Rates correlations: Over the last 30 trading days, most major equity indices show only mild day‑to‑day linkage to moves in the 10Y yield, with the S&amp;P 500, Nasdaq 100, and Russell 2000 all sitting near small positive correlations that suggest limited rate sensitivity for now. Financials are somewhat more positively tied to yields, hinting that rate moves have been a clearer tailwind or headwind there than for the broad market. Utilities stand out with a consistently moderate negative correlation, indicating more bond‑like behavior and more pronounced pressure when yields rise, and that rate sensitivity in equities is concentrated in this traditionally defensive sector.</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