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broad US equities and financials have shown only mild day‑to‑day linkage to moves in the 10-year yield, suggesting relatively contained equity-rate sensitivity in the near term. By contrast, utilities exhibit a consistently strong negative correlation across 15D, 30D, and 90D windows, indicating that rate moves are exerting a concentrated influence on this traditionally rate‑sensitive sector.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