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most strongly tied to gold, with a moderate and consistently negative relationship that has held across 15D and 90D windows, suggesting that recent dollar strength has generally coincided with gold weakness and vice versa. The S&amp;P 500 also shows a meaningful, though slightly weaker, negative linkage to the USD, while oil, broad commodities, and bitcoin display only mild and more variable USD sensitivity. Overall, USD influence is concentrated in gold rather than broad-based across the full asset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