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the S&amp;P 500, which has the strongest linkage and moves moderately in the opposite direction to the dollar, while broad commodities and oil tend to rise when the dollar strengthens. Bitcoin’s 30-day USD linkage is only mild, but its recent 15-day reading shows a sharper tendency to move against the dollar. Gold remains consistently negatively correlated with the USD across all windows, though less tightly than equities, while broad commodities’ positive USD tie has strengthened compared with the 90-day backdrop.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