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equities and financials have shown only mild day‑to‑day linkage to moves in the 10Y yield, suggesting relatively contained rate sensitivity for the major equity benchmarks. In contrast, utilities exhibit a consistently negative and sizable correlation across 15D, 30D, and 90D windows, indicating that rate‑driven swings are concentrated in this more bond‑like sector. Recent 15D readings point to a modest uptick in pro‑cyclical rate sensitivity for equities and financials, while utilities have become even more inversely tied to yields in the very near term.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