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 and broad commodities, both showing a clear tendency to move opposite the dollar, with gold the standout. The S&amp;P 500, oil, and Bitcoin all show relatively contained USD linkage over this window, suggesting their recent moves have been driven more by asset-specific factors than by dollar swings. The 15D and 90D views broadly confirm this pattern, with gold and the broad commodity basket consistently the most inversely tied to USD.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