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Utilities show the clearest equity-rate linkage, with returns moving more reliably opposite to yields than the broad equity indices. The S&amp;P 500, Nasdaq 100, and Russell 2000 are also negatively tied to rates, but with more moderate and less persistent sensitivity, as seen in the weaker 90-day correlations. Financials now show only a very mild relationship to yields, and that sensitivity looks contained relative to the rest of the equity complex.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