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the S&amp;P 500, which has shown a clear inverse relationship with the dollar, while oil and the broad commodity basket have moved more in tandem with USD. The stronger 15D correlations for SPX, USO, and COMT suggest that these USD linkages have recently intensified compared with the 90D backdrop. Gold and Bitcoin, by contrast, have shown only contained day-to-day co-movement with the dollar over the 30D window, even though gold’s longer-term 90D correlation is more clearly negative.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