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equities show only mild positive sensitivity to rising 10-year yields, with the S&amp;P 500 the least tied to rate moves and small caps and financials showing somewhat more linkage. Utilities stand out with a consistently strong negative correlation, implying that rate moves are a concentrated influence on that sector’s day-to-day performance. The 15-day readings show this pattern intensifying recently, while the 90-day window suggests these relationships have been weaker over a longer horizon.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