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linkages are mostly contained across equities, oil, broad commodities, and Bitcoin, with no strong or consistent co-movement in either direction. The main exception is gold, where the USD relationship is clearly concentrated: GLD has a moderate negative correlation to DXY on the 30D window, broadly aligned with its more weakly negative 15D and 90D readings. This pattern suggests gold prices have been the most sensitive to USD moves lately, while other risk assets have traded largely independently of the dollar.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