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equities have generally moved with yields, with the S&amp;P 500, Nasdaq 100, and Financials all showing similar positive rate sensitivity, while Small Caps are somewhat less tied to rate moves. Utilities stand out with a distinctly negative correlation, indicating they have been moving in the opposite direction of yields more consistently than other sectors. This pattern suggests that the influence of rate moves is somewhat concentrated in rate‑sensitive defensives on the downside and in large-cap growth and Financials on the upside.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