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gold shows the most meaningful USD linkage, with a clear inverse relationship that is consistent across the 15D and 90D windows, indicating that gold prices have been particularly sensitive to moves in the dollar. Equities, broad commodities, and bitcoin all show only mild negative correlations to the USD, suggesting a weaker and more variable connection. Oil’s correlation has been small and has even flipped sign across windows, pointing to idiosyncratic drivers dominating its behavior relative to the dollar. Overall, USD influence is concentrated in gold rather than broad-based across risk assets and commodities.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