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Utilities stand out with a firmly negative correlation to 10-year yields, indicating they have been the most rate-sensitive among the major equity sectors, while broad equity indices and Financials show contained day-to-day linkage to moves in yields. The very mild 30-day correlations for the S&amp;P 500, Nasdaq 100, and Russell 2000 suggest that index-level equity performance has not been tightly tied to rate moves recently, despite more negative readings over the last 15 days. This pattern points to rate sensitivity being relatively concentrated in classic defensives like Utilities, with only modest spillover into the broader equity complex.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