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mostly concentrated in risk and commodity proxies, with the S&amp;P 500 showing a moderate inverse linkage and both oil (USO) and broad commodities (COMT) moving moderately in the same direction as the dollar. The S&amp;P’s negative correlation has strengthened recently, while oil and broad commodities show stable, mild positive ties that fade over the 90-day window. Gold and Bitcoin sit in the “contained” bucket, with relatively weak and somewhat inconsistent USD relationships despite gold’s more pronounced negative link over the longer 90-day horizon.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