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major equity benchmarks and financials have shown broadly similar, moderately negative sensitivity to moves in the 10-year yield, with the S&amp;P 500, Nasdaq 100, Russell 2000, and XLF all weakening when yields rise. Utilities now sit near the top of that pack in rate sensitivity, with a 30-day correlation that has moved sharply more negative versus its milder 15-day reading and is now closer to its more persistently rate‑sensitive 90-day profile. Overall, rate influence is not concentrated in a single equity index or sector, but is instead spread across large caps, growth, small caps, and financials, all of which have been leaning in the same direction versus yields.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