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moderate and mostly negative for the S&amp;P 500 and Bitcoin, while oil and broad commodities move moderately in the same direction as the dollar. This makes the S&amp;P 500 the single most influential channel for USD linkage, with that influence concentrated rather than broad-based across the complex. Shorter-term (15D) readings show slightly stronger relationships in the same directions, while the 90D window suggests that most of these USD linkages have strengthened more recently, especially for commodities.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