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U.S. equity indexes and Financials have shown only modest day‑to‑day linkage to moves in the 10Y yield, indicating relatively contained rate sensitivity in headline equity performance. In contrast, Utilities remain meaningfully negatively correlated with yields across 15D, 30D, and 90D windows, underscoring a more persistent, bond‑like rate exposure in that sector.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