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commodities, with broad commodities, oil, and especially gold all showing clear inverse relationships to the dollar, and gold standing out as the strongest linkage. These negative ties have been consistently stronger in the nearer window than over 90 trading days, suggesting that recent moves in the dollar have had a more pronounced impact on commodity and gold returns than in the broader past. In contrast, the S&amp;P 500 and Bitcoin have shown only limited day‑to‑day alignment with the dollar, with correlations that remain close to zero across all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