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and small caps (SPX, NDX, RUT) have shown fairly strong negative links to moves in the 10‑year yield, implying that stock returns have tended to struggle on days when rates rise. That rate sensitivity is especially concentrated in small caps, which have recently moved most sharply in the opposite direction of yields, though their 90‑day pattern looks milder.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