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all tracked assets show a meaningful linkage to the dollar, with the influence concentrated in the S&amp;P 500, which has a moderately negative correlation, and oil/commodities, which have moderately positive correlations. Equities and gold have tended to move opposite the USD, while oil and the broader commodity basket have tended to move in the same direction, and these relationships have generally strengthened versus the 90-day window. Bitcoin’s linkage to the USD has flipped from mildly positive over 15 days to meaningfully negative over 30 days, indicating a more dollar‑sensitive backdrop than the longer‑term view suggests.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