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US equities have been moving clearly opposite to 10-year yields, with the S&amp;P 500 showing the strongest large-cap equity sensitivity and small caps and financials somewhat less so. Utilities stand out with the most pronounced equity-sector linkage to rates, showing a persistently strong negative correlation across 15D, 30D, and 90D windows. This pattern points to equity rate-sensitivity that is both elevated and fairly broad-based, but with the influence especially concentrated in defensives like utilities.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