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last 30 trading days, USD moves have shown the clearest linkage with the S&amp;P 500, oil (USO), and broad commodities (COMT), indicating that equity and energy/commodity returns have been moderately sensitive to dollar fluctuations. This influence is concentrated in the S&amp;P 500 on the downside (stocks tending to weaken when the USD strengthens) and in oil and broad commodities on the upside (tending to rise with the USD). Gold’s relationship to the dollar remains inverse but less stable across windows, while Bitcoin’s negative linkage has been fading from stronger 15-day readings to a weaker 30- and 90-day connection.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