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equities overall have been moving in the same direction as yields, with the S&amp;P 500, Nasdaq 100, and Financials all showing moderate positive rate sensitivity, while small caps are somewhat less tied to rate moves. Utilities remain the clear outlier, with a strong and consistently negative link to yields across 15D, 30D, and 90D windows, underscoring that rate sensitivity is concentrated in this traditionally rate‑exposed sector. The near-zero 90D correlations for the major equity indices highlight how this recent pro‑cyclical tilt toward rising yields is a relatively new development rather than a long‑running pattern.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