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gold, where returns have moved moderately in the opposite direction of the dollar, and that negative linkage has been relatively stable over both shorter and longer windows. Broad commodities also show a weaker but still noticeable tendency to move against the USD, while equities, oil, and Bitcoin have kept their USD correlations contained and closer to zero. This pattern implies that most risk assets in this set have not been tightly tethered to day-to-day dollar moves, with gold standing out as the primary USD hedge within the group.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