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show the clearest equity-rate linkage, with a meaningfully negative correlation to 10Y yields that has been both sizable and persistent across 15D and 90D windows, implying they have been the most rate‑sensitive sector in this set. Financials have a moderate, positive linkage to yields that has strengthened in the short term, while the major equity indices (S&amp;P 500, Nasdaq 100, Russell 2000) exhibit relatively contained and only mildly positive rate sensitivity.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