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broad commodities, with both tending to move opposite the dollar and gold showing the clearest linkage. The S&amp;P 500 and Bitcoin futures have contained USD correlation, implying equity and crypto moves have been driven more by asset‑specific factors than by the dollar. Oil shows a mild negative USD relationship on this window, with shorter- and longer-term readings suggesting a weak and somewhat unstable connection.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