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Rates correlations: Over the last 30 trading days, all major equity indexes have shown meaningfully negative sensitivity to moves in the 10-year yield, with the S&amp;P 500 the most responsive among them, implying that rising yields have tended to coincide with broad equity weakness. Financials are also negatively tied to rates over this window, in contrast to their more muted 90-day relationship, suggesting recent trading has leaned toward “higher yields, lower financials” rather than the textbook benefit from higher rates. Utilities exhibit a steady negative linkage across both 30- and 90-day windows, reinforcing their role as a rate-sensitive, bond-proxy segment of the equity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