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moves have been most closely linked to U. S. equities, with the S&amp;P 500 showing a moderate inverse relationship, while Bitcoin and broad commodities also lean meaningfully opposite or alongside the dollar. This leaves USD influence relatively concentrated in equities and, to a lesser extent, crypto and commodities, with gold the main outlier showing only a weak 30-day connection.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