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major U. S. equity indices have shown broadly similar and fairly strong negative sensitivity to moves in the 10-year yield, with the S&amp;P 500, Nasdaq 100, and Russell 2000 all tending to weaken when yields rise. Financials now trade with a comparable negative linkage to rates, suggesting higher yields have recently been a headwind rather than a benefit for that sector.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