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tightly linked to the S&amp;P 500, with a clear negative relationship that has been stable across the 15D and 90D windows. Bitcoin and gold also lean negatively versus the USD, but their linkages are weaker or less consistent over time. Oil and broad commodities show moderate positive correlations to the USD, suggesting that recent dollar strength has tended to come alongside firmer energy and commodity prices rather than against them. Overall, USD sensitivity is concentrated in equities, with other assets showing secondary but still meaningful 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