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Utilities show the clearest and most persistent rate sensitivity among the major equity sectors, with a notably negative linkage that has also been strong over 15D and 90D windows. Financials stand out on the positive side, with a moderate pro-rate relationship that has strengthened recently relative to the longer 90D lookback, suggesting rate moves have been more relevant for that sector than for the broad indices. The S&amp;P 500 and Nasdaq 100 are only modestly rate-sensitive, while the Russell 2000’s returns have been relatively insulated from rate moves, with its 30D correlation still contained.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