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a moderately negative correlation implies that a stronger dollar has tended to line up with weaker gold prices, and vice versa. Equities, oil, broad commodities, and bitcoin all show relatively contained linkages to the dollar over this window, with only mild and somewhat unstable correlations. The S&amp;P 500’s modestly negative correlation and bitcoin’s small negative tilt suggest some inverse USD influence, but it is weaker and less consistent than what we see in gold.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