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equities (S&amp;P 500, Nasdaq 100, Russell 2000) and Financials have shown only mild, close-to-zero correlation with 10-year yields, implying relatively limited and non-directional rate sensitivity in the short run. Utilities stand out with a more consistent negative linkage to yields, and that defensiveness is visible across 15D, 30D, and 90D windows. Overall, rate sensitivity outside of Utilities looks contained, with influence across equity sectors not strongly concentrated in any single area.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