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commodities, with broad commodities, oil, and especially gold all showing clear negative links to the dollar—gold stands out as the strongest, and its 15D and 90D readings confirm this pattern is persistent rather than a short-lived blip. In contrast, the S&amp;P 500 and Bitcoin futures show only weak and somewhat unstable connections to the USD, suggesting equity and crypto moves have lately been driven more by their own sector- or asset-specific factors than by dollar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