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have shown the clearest equity-rate sensitivity, with returns moving notably opposite to 10-year yields, while the broad U. S. equity indexes (S&amp;P 500, Nasdaq 100, Russell 2000) have only modest negative rate linkage. The very strong inverse relationship in Utilities has been persistent across 15D and 90D windows, suggesting that a meaningful slice of recent rate volatility has been expressed there.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