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equity (SPX) shows a moderate negative linkage to the dollar while oil (USO) and broad commodities (COMT) move moderately in the same direction as the USD, so dollar moves have a concentrated influence in energy and commodity space. The recent 15-day readings broadly reinforce this pattern but with slightly stronger sensitivity, while the weaker 90-day correlations suggest these relationships have only firmed up more recently. Gold and Bitcoin sit in the “contained” bucket, with gold shifting from a more clearly negative 90-day link toward a near-zero 30-day relationship, and Bitcoin maintaining only a mild, stable inverse connection to the dollar.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