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major U. S. equity indexes have shown broadly similar, strong negative sensitivity to moves in the 10-year yield, with the S&amp;P 500, Nasdaq 100, and Russell 2000 all selling off when yields rise. That influence is most concentrated in small caps, where the Russell 2000’s short-term (15-day) linkage is especially intense, implying that rate spikes have recently hit smaller, more rate‑exposed companies hardest.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