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linkages are concentrated in cyclicals and crypto, with equities (SPX) and Bitcoin showing moderately negative correlations and crude oil (USO) and broad commodities (COMT) moving moderately in the same direction as the dollar. This mix suggests the dollar has been pressuring U. S. stocks and Bitcoin while coinciding with strength in energy and the broader commodity complex.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