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utilities show the clearest equity-rate linkage, with returns moving meaningfully opposite to 10-year yields, and that defensive, rate-sensitive pattern is consistent across the 15D and 90D windows. The S&amp;P 500, Nasdaq 100, and Russell 2000 are also negatively tied to yields, but less tightly, suggesting broader equities are rate-sensitive without being dominated by moves in TNX. Financials stand out for having very limited 30D correlation to rates, indicating that recent bank and finance sector moves have been driven more by non-rate factors.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