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sensitivity is concentrated in broad commodities and oil, which both move moderately in the same direction as the dollar, while the S&amp;P 500 tends to move the other way. The stronger 15-day correlations for commodities and equities versus the dollar suggest this pattern has intensified recently, whereas their weaker 90-day readings point to a less stable relationship over a longer horizon. Gold and Bitcoin show only limited dollar linkage over 30 days, with gold flipping from a negative 90-day correlation to nearly neutral more recently.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