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have shown moderate inverse sensitivity to moves in the 10-year yield, with the S&amp;P 500 and Nasdaq 100 both trading somewhat weaker on days when yields rise, while small caps, financials, and utilities show only contained rate linkage. The near-zero 90D correlations for most equity indexes suggest that this negative relationship is more of a recent feature than a persistent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