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30D basis, USD sensitivity is concentrated in broad commodities and gold, which both move meaningfully opposite the dollar, with oil reinforcing that negative linkage. The S&amp;P 500 and Bitcoin show only contained, near-zero 30D correlations, implying equity and crypto moves have recently been much less tied to day-to-day dollar swings. Over 15D, the anti-USD tilt in commodities and gold has intensified, while the weaker 90D readings show that this sensitivity has been a more recent feature than a long-standing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