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sectors have shown pronounced negative sensitivity to moves in the 10-year yield, with the S&amp;P 500, Nasdaq 100, Russell 2000, and Financials all weakening on days when yields rise. That equity-rate linkage is strongest in the small-cap Russell 2000, suggesting rate sensitivity is somewhat concentrated there, while Utilities now show a moderate, more persistent negative correlation that lines up with their defensive, rate-sensitive profile.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