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and energy, with the S&amp;P 500 showing the strongest inverse linkage to the dollar and oil and broad commodities moving in the same direction as DXY. Bitcoin is also meaningfully inversely tied to the dollar, though less so than the S&amp;P 500, suggesting risk assets broadly lean against USD strength. Gold’s relationship to the dollar looks unstable, with a very strong recent 15D negative correlation but only a weak 30D linkage and a firmer negative tilt over 90D.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