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the 30D view, the USD’s influence is concentrated in commodities, with broad commodities, oil, and especially gold all tending to fall when the dollar strengthens, and gold showing the most consistent negative linkage across 15D, 30D, and 90D windows. The S&amp;P 500 and Bitcoin remain relatively insulated from USD moves over 30D, with only mild, short-term co-movement in equities and essentially no stable relationship in Bitcoin.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